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93302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93302C" w:rsidP="00FE178E">
            <w:pPr>
              <w:spacing w:before="120" w:after="120"/>
              <w:rPr>
                <w:i/>
                <w:sz w:val="24"/>
                <w:szCs w:val="24"/>
              </w:rPr>
            </w:pPr>
            <w:r w:rsidRPr="0093302C">
              <w:rPr>
                <w:rFonts w:ascii="Calibri" w:eastAsia="Times New Roman" w:hAnsi="Calibri" w:cs="Times New Roman"/>
                <w:color w:val="000000"/>
                <w:lang w:eastAsia="tr-TR"/>
              </w:rPr>
              <w:t>Yeni Normal Sonrası Kurumsal İhracat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93302C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93302C">
        <w:rPr>
          <w:b/>
          <w:bCs/>
          <w:i/>
          <w:color w:val="FF0000"/>
          <w:sz w:val="24"/>
          <w:szCs w:val="24"/>
        </w:rPr>
        <w:t>6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3302C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109E0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AC8C1-AD53-4130-9803-C5DD4D25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54</cp:revision>
  <dcterms:created xsi:type="dcterms:W3CDTF">2015-01-15T13:02:00Z</dcterms:created>
  <dcterms:modified xsi:type="dcterms:W3CDTF">2021-02-10T08:23:00Z</dcterms:modified>
</cp:coreProperties>
</file>